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EE" w:rsidRDefault="005E40EE" w:rsidP="00BC467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Calibri" w:hAnsi="Calibri" w:cs="Arial"/>
          <w:b/>
          <w:sz w:val="22"/>
          <w:szCs w:val="22"/>
          <w:lang w:eastAsia="en-US"/>
        </w:rPr>
      </w:pPr>
    </w:p>
    <w:p w:rsidR="005E40EE" w:rsidRPr="00795B42" w:rsidRDefault="005E40EE" w:rsidP="00BC467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hAnsi="Calibri" w:cs="Calibri"/>
          <w:b/>
        </w:rPr>
      </w:pPr>
      <w:bookmarkStart w:id="0" w:name="_Toc312064592"/>
      <w:bookmarkStart w:id="1" w:name="_Toc375316637"/>
      <w:bookmarkStart w:id="2" w:name="_Toc412557138"/>
      <w:r w:rsidRPr="007E5092">
        <w:rPr>
          <w:rFonts w:ascii="Calibri" w:hAnsi="Calibri" w:cs="Calibri"/>
          <w:b/>
        </w:rPr>
        <w:t xml:space="preserve">Załącznik </w:t>
      </w:r>
      <w:bookmarkEnd w:id="0"/>
      <w:bookmarkEnd w:id="1"/>
      <w:bookmarkEnd w:id="2"/>
      <w:r w:rsidR="00544E79">
        <w:rPr>
          <w:rFonts w:ascii="Calibri" w:hAnsi="Calibri" w:cs="Calibri"/>
          <w:b/>
        </w:rPr>
        <w:t>6</w:t>
      </w:r>
      <w:bookmarkStart w:id="3" w:name="_GoBack"/>
      <w:bookmarkEnd w:id="3"/>
      <w:r w:rsidR="0055260F">
        <w:rPr>
          <w:rFonts w:ascii="Calibri" w:hAnsi="Calibri" w:cs="Calibri"/>
          <w:b/>
        </w:rPr>
        <w:t xml:space="preserve"> – Wstępne założenia </w:t>
      </w:r>
      <w:r w:rsidRPr="00795B42">
        <w:rPr>
          <w:rFonts w:ascii="Calibri" w:hAnsi="Calibri" w:cs="Calibri"/>
          <w:b/>
        </w:rPr>
        <w:t xml:space="preserve">modelu </w:t>
      </w:r>
      <w:r w:rsidR="001A193F">
        <w:rPr>
          <w:rFonts w:ascii="Calibri" w:hAnsi="Calibri"/>
          <w:b/>
          <w:lang w:eastAsia="en-US"/>
        </w:rPr>
        <w:t xml:space="preserve">funkcjonowania Lokalnego </w:t>
      </w:r>
      <w:r w:rsidR="006D1B0B">
        <w:rPr>
          <w:rFonts w:ascii="Calibri" w:hAnsi="Calibri"/>
          <w:b/>
          <w:lang w:eastAsia="en-US"/>
        </w:rPr>
        <w:t xml:space="preserve">Ośrodka Wiedzy </w:t>
      </w:r>
      <w:r w:rsidR="004B0043">
        <w:rPr>
          <w:rFonts w:ascii="Calibri" w:hAnsi="Calibri"/>
          <w:b/>
          <w:lang w:eastAsia="en-US"/>
        </w:rPr>
        <w:br/>
      </w:r>
      <w:r w:rsidR="006D1B0B">
        <w:rPr>
          <w:rFonts w:ascii="Calibri" w:hAnsi="Calibri"/>
          <w:b/>
          <w:lang w:eastAsia="en-US"/>
        </w:rPr>
        <w:t>i Edukacji</w:t>
      </w:r>
      <w:r w:rsidR="003D6EBA">
        <w:rPr>
          <w:rFonts w:ascii="Calibri" w:hAnsi="Calibri"/>
          <w:b/>
          <w:lang w:eastAsia="en-US"/>
        </w:rPr>
        <w:t xml:space="preserve">  </w:t>
      </w:r>
    </w:p>
    <w:p w:rsidR="00595FEC" w:rsidRDefault="00595FEC" w:rsidP="00BC467B">
      <w:pPr>
        <w:spacing w:before="120" w:after="240"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3D6EBA" w:rsidRPr="00795B42" w:rsidRDefault="005E40EE" w:rsidP="00E31150">
      <w:pPr>
        <w:spacing w:before="120" w:after="24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795B42">
        <w:rPr>
          <w:rFonts w:ascii="Calibri" w:hAnsi="Calibri" w:cs="Calibri"/>
          <w:b/>
          <w:sz w:val="32"/>
          <w:szCs w:val="32"/>
        </w:rPr>
        <w:t xml:space="preserve">Opis </w:t>
      </w:r>
      <w:r w:rsidR="006D1B0B">
        <w:rPr>
          <w:rFonts w:ascii="Calibri" w:hAnsi="Calibri" w:cs="Calibri"/>
          <w:b/>
          <w:sz w:val="32"/>
          <w:szCs w:val="32"/>
        </w:rPr>
        <w:t xml:space="preserve">założeń </w:t>
      </w:r>
      <w:r w:rsidRPr="00795B42">
        <w:rPr>
          <w:rFonts w:ascii="Calibri" w:hAnsi="Calibri" w:cs="Calibri"/>
          <w:b/>
          <w:sz w:val="32"/>
          <w:szCs w:val="32"/>
        </w:rPr>
        <w:t>modelu</w:t>
      </w:r>
      <w:r w:rsidR="001A193F" w:rsidRPr="001A193F">
        <w:t xml:space="preserve"> </w:t>
      </w:r>
      <w:r w:rsidR="001A193F" w:rsidRPr="001A193F">
        <w:rPr>
          <w:rFonts w:ascii="Calibri" w:hAnsi="Calibri" w:cs="Calibri"/>
          <w:b/>
          <w:sz w:val="32"/>
          <w:szCs w:val="32"/>
        </w:rPr>
        <w:t xml:space="preserve">funkcjonowania </w:t>
      </w:r>
      <w:r w:rsidR="009E7851">
        <w:rPr>
          <w:rFonts w:ascii="Calibri" w:hAnsi="Calibri" w:cs="Calibri"/>
          <w:b/>
          <w:sz w:val="32"/>
          <w:szCs w:val="32"/>
        </w:rPr>
        <w:br/>
      </w:r>
      <w:r w:rsidR="000F3010">
        <w:rPr>
          <w:rFonts w:ascii="Calibri" w:hAnsi="Calibri" w:cs="Calibri"/>
          <w:b/>
          <w:sz w:val="32"/>
          <w:szCs w:val="32"/>
        </w:rPr>
        <w:t xml:space="preserve">Lokalnego Ośrodka Wiedzy </w:t>
      </w:r>
      <w:r w:rsidR="001A193F" w:rsidRPr="001A193F">
        <w:rPr>
          <w:rFonts w:ascii="Calibri" w:hAnsi="Calibri" w:cs="Calibri"/>
          <w:b/>
          <w:sz w:val="32"/>
          <w:szCs w:val="32"/>
        </w:rPr>
        <w:t>i Edukacji</w:t>
      </w:r>
      <w:r w:rsidR="006D1B0B">
        <w:rPr>
          <w:rFonts w:ascii="Calibri" w:hAnsi="Calibri" w:cs="Calibri"/>
          <w:b/>
          <w:sz w:val="32"/>
          <w:szCs w:val="32"/>
        </w:rPr>
        <w:t xml:space="preserve"> (LOWE)</w:t>
      </w:r>
      <w:r w:rsidR="00595FEC">
        <w:rPr>
          <w:rFonts w:ascii="Calibri" w:hAnsi="Calibri" w:cs="Calibri"/>
          <w:b/>
          <w:sz w:val="32"/>
          <w:szCs w:val="32"/>
        </w:rPr>
        <w:t xml:space="preserve"> </w:t>
      </w:r>
      <w:r w:rsidR="009E7851">
        <w:rPr>
          <w:rFonts w:ascii="Calibri" w:hAnsi="Calibri" w:cs="Calibri"/>
          <w:b/>
          <w:sz w:val="32"/>
          <w:szCs w:val="32"/>
        </w:rPr>
        <w:br/>
      </w:r>
      <w:r w:rsidR="003D6EBA" w:rsidRPr="003D6EBA">
        <w:rPr>
          <w:rFonts w:ascii="Calibri" w:hAnsi="Calibri" w:cs="Calibri"/>
          <w:b/>
          <w:sz w:val="32"/>
          <w:szCs w:val="32"/>
        </w:rPr>
        <w:t xml:space="preserve">oraz opis </w:t>
      </w:r>
      <w:r w:rsidR="00595FEC">
        <w:rPr>
          <w:rFonts w:ascii="Calibri" w:hAnsi="Calibri" w:cs="Calibri"/>
          <w:b/>
          <w:sz w:val="32"/>
          <w:szCs w:val="32"/>
        </w:rPr>
        <w:t>metodologii doboru</w:t>
      </w:r>
      <w:r w:rsidR="003D6EBA" w:rsidRPr="003D6EBA">
        <w:rPr>
          <w:rFonts w:ascii="Calibri" w:hAnsi="Calibri" w:cs="Calibri"/>
          <w:b/>
          <w:sz w:val="32"/>
          <w:szCs w:val="32"/>
        </w:rPr>
        <w:t xml:space="preserve"> organów prowadzących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E40EE" w:rsidRPr="00190ED3" w:rsidTr="003D6EBA">
        <w:tc>
          <w:tcPr>
            <w:tcW w:w="9062" w:type="dxa"/>
            <w:shd w:val="clear" w:color="auto" w:fill="99CCFF"/>
          </w:tcPr>
          <w:p w:rsidR="005E40EE" w:rsidRPr="0082436E" w:rsidRDefault="005E40EE" w:rsidP="00E31150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spacing w:before="120" w:after="120"/>
              <w:ind w:left="540" w:hanging="540"/>
              <w:contextualSpacing/>
              <w:jc w:val="both"/>
              <w:rPr>
                <w:b/>
                <w:szCs w:val="24"/>
              </w:rPr>
            </w:pPr>
            <w:r w:rsidRPr="0082436E">
              <w:rPr>
                <w:b/>
                <w:sz w:val="28"/>
                <w:szCs w:val="24"/>
              </w:rPr>
              <w:t>Założenia modelu planowanego do wypracowania</w:t>
            </w:r>
            <w:r w:rsidR="0082436E">
              <w:rPr>
                <w:b/>
                <w:sz w:val="28"/>
                <w:szCs w:val="24"/>
              </w:rPr>
              <w:t xml:space="preserve"> w ramach projektu zgodnie </w:t>
            </w:r>
            <w:r w:rsidR="004B0043" w:rsidRPr="0082436E">
              <w:rPr>
                <w:b/>
                <w:sz w:val="28"/>
                <w:szCs w:val="24"/>
              </w:rPr>
              <w:t>z kryterium dostępu nr 5</w:t>
            </w:r>
            <w:r w:rsidRPr="0082436E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5E40EE" w:rsidRPr="00190ED3" w:rsidTr="00D17017">
        <w:trPr>
          <w:trHeight w:val="58"/>
        </w:trPr>
        <w:tc>
          <w:tcPr>
            <w:tcW w:w="9062" w:type="dxa"/>
          </w:tcPr>
          <w:p w:rsidR="002638E5" w:rsidRDefault="002638E5" w:rsidP="00C4482E">
            <w:pPr>
              <w:spacing w:before="120" w:after="120"/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Interdyscyplinarny Zespół Ekspertów (5 osób wykazanych w potencjale) w odpowiedzi na konkurs i dla celów projektu w VI-VII.2016 r. dokonał rozpoznania uwarunkowań LOWE. </w:t>
            </w:r>
            <w:r w:rsidRPr="00C746F6">
              <w:rPr>
                <w:rFonts w:ascii="Calibri" w:hAnsi="Calibri" w:cs="Calibri"/>
                <w:b/>
                <w:i/>
              </w:rPr>
              <w:t xml:space="preserve">Dokładnie przeanalizowano </w:t>
            </w:r>
            <w:r>
              <w:rPr>
                <w:rFonts w:ascii="Calibri" w:hAnsi="Calibri" w:cs="Calibri"/>
                <w:b/>
                <w:i/>
              </w:rPr>
              <w:t>specyfikę problemów</w:t>
            </w:r>
            <w:r w:rsidRPr="00C746F6">
              <w:rPr>
                <w:rFonts w:ascii="Calibri" w:hAnsi="Calibri" w:cs="Calibri"/>
                <w:b/>
                <w:i/>
              </w:rPr>
              <w:t xml:space="preserve"> </w:t>
            </w:r>
            <w:r>
              <w:rPr>
                <w:rFonts w:ascii="Calibri" w:hAnsi="Calibri" w:cs="Calibri"/>
                <w:b/>
                <w:i/>
              </w:rPr>
              <w:t xml:space="preserve">aktywności edukacyjnej osób dorosłych. Dokonano analizy desk research dostępnych raportów, dokumentów, danych oraz przeprowadzono 32 IDI z przedstawicielami potencjalnych szkół oraz organów prowadzących LOWE. W wyniku tego badania </w:t>
            </w:r>
            <w:r w:rsidRPr="00C746F6">
              <w:rPr>
                <w:rFonts w:ascii="Calibri" w:hAnsi="Calibri" w:cs="Calibri"/>
                <w:b/>
                <w:i/>
              </w:rPr>
              <w:t xml:space="preserve">Zespół ekspercki dokonał prac konceptualizacyjnych </w:t>
            </w:r>
            <w:r>
              <w:rPr>
                <w:rFonts w:ascii="Calibri" w:hAnsi="Calibri" w:cs="Calibri"/>
                <w:b/>
                <w:i/>
              </w:rPr>
              <w:t xml:space="preserve">oraz opracował REKOMENDACJE </w:t>
            </w:r>
            <w:r w:rsidRPr="00C746F6">
              <w:rPr>
                <w:rFonts w:ascii="Calibri" w:hAnsi="Calibri" w:cs="Calibri"/>
                <w:b/>
                <w:i/>
              </w:rPr>
              <w:t xml:space="preserve">i wypracował </w:t>
            </w:r>
            <w:r>
              <w:rPr>
                <w:rFonts w:ascii="Calibri" w:hAnsi="Calibri" w:cs="Calibri"/>
                <w:b/>
                <w:i/>
              </w:rPr>
              <w:t xml:space="preserve">założenia modelu LOWE dla </w:t>
            </w:r>
            <w:r w:rsidR="002F7003">
              <w:rPr>
                <w:rFonts w:ascii="Calibri" w:hAnsi="Calibri" w:cs="Calibri"/>
                <w:b/>
                <w:i/>
              </w:rPr>
              <w:t xml:space="preserve">terenów </w:t>
            </w:r>
            <w:r w:rsidRPr="00437A0B">
              <w:rPr>
                <w:rFonts w:ascii="Calibri" w:hAnsi="Calibri" w:cs="Calibri"/>
                <w:b/>
                <w:i/>
              </w:rPr>
              <w:t>z obszarów zdegradowanych oraz defaworyzowanych</w:t>
            </w:r>
            <w:r>
              <w:rPr>
                <w:rFonts w:ascii="Calibri" w:hAnsi="Calibri" w:cs="Calibri"/>
                <w:b/>
                <w:i/>
              </w:rPr>
              <w:t>.</w:t>
            </w:r>
          </w:p>
          <w:p w:rsidR="002638E5" w:rsidRDefault="002638E5" w:rsidP="00C4482E">
            <w:pPr>
              <w:spacing w:before="120" w:after="120"/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Stwierdzono największą potrzebę i konieczność wsparcia takich obszarów, zwłaszcza na obszarach wiejskich oraz w małych miejscowościach zagrożonych wykluczeniem społecznym poprzez wykluczenie kompetencyjne. Dostępność do LLL w takich obszarach jest znikoma, a odsetek osób, którym grozi wykluczenie społeczne z powodu drastycznie niskiego poziomu kompetencji kluczowych przekracza 24%, dochodząc w niektórych przypadkach do 42%.</w:t>
            </w:r>
          </w:p>
          <w:p w:rsidR="002638E5" w:rsidRPr="00C746F6" w:rsidRDefault="002638E5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C746F6">
              <w:rPr>
                <w:rFonts w:ascii="Calibri" w:hAnsi="Calibri" w:cs="Calibri"/>
                <w:b/>
                <w:i/>
                <w:u w:val="single"/>
              </w:rPr>
              <w:t>Założenia modelu i jego kompleksowość: aksjomaty (tezy fundamentalne) i paradygmat</w:t>
            </w:r>
          </w:p>
          <w:p w:rsidR="002638E5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Wszystkie działania w ramach modelu nastawione są na nabywanie lub rozwój kompetencji kluczowych. Jednakże są to działania odpowiadające REALIOM obszarów defaworyzowanych lub zdegradowanych.</w:t>
            </w:r>
          </w:p>
          <w:p w:rsidR="002638E5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Model odpowiada wspólnym cechom i potrzebom </w:t>
            </w:r>
            <w:r w:rsidR="002F7003">
              <w:rPr>
                <w:rFonts w:cs="Calibri"/>
                <w:b/>
                <w:i/>
              </w:rPr>
              <w:t xml:space="preserve">oraz </w:t>
            </w:r>
            <w:r>
              <w:rPr>
                <w:rFonts w:cs="Calibri"/>
                <w:b/>
                <w:i/>
              </w:rPr>
              <w:t>barierom obszarów defaworyzowanych i zdegradowanych w małych ośrodkach.</w:t>
            </w:r>
          </w:p>
          <w:p w:rsidR="002638E5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Konieczne jest kształtowanie kompetencji kluczowych (KK) w formie działań INTEGRALNYCH typu: „Kompetencje w działaniu”, czyli nabywanie lub rozwój KK poprzez aktywne uczestnictwo w procesie oraz w działaniach realnych. Dlatego też w modelu zaplanowano działania „</w:t>
            </w:r>
            <w:r w:rsidR="002F7003">
              <w:rPr>
                <w:rFonts w:cs="Calibri"/>
                <w:b/>
                <w:i/>
              </w:rPr>
              <w:t xml:space="preserve">włączające </w:t>
            </w:r>
            <w:r>
              <w:rPr>
                <w:rFonts w:cs="Calibri"/>
                <w:b/>
                <w:i/>
              </w:rPr>
              <w:t xml:space="preserve">w proces LLL” rozwijające KK i jednocześnie powodujące zwiększenie udziału osób dorosłych w LLL, działania typu: </w:t>
            </w:r>
          </w:p>
          <w:p w:rsidR="002638E5" w:rsidRDefault="002638E5">
            <w:pPr>
              <w:pStyle w:val="Akapitzlist"/>
              <w:numPr>
                <w:ilvl w:val="0"/>
                <w:numId w:val="7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Tematyczne warsztaty kompetencyjne typu „Life skills” (np.: rolnictwo, zarządzanie budżetem domowym, jak skutecznie znaleźć pracę, Szkoła kompetencji dla rodziców i opiekunów, zdrowe odżywianie, edukacja profilaktyki uzależnień</w:t>
            </w:r>
          </w:p>
          <w:p w:rsidR="002638E5" w:rsidRPr="0027765E" w:rsidRDefault="002638E5">
            <w:pPr>
              <w:pStyle w:val="Akapitzlist"/>
              <w:numPr>
                <w:ilvl w:val="0"/>
                <w:numId w:val="7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Poważną barierą powiązaną z brakiem aktywności w LLL są zagrożenia uzależnieniami. Dlatego model proponuje działania rozwijające KK w formie „</w:t>
            </w:r>
            <w:r w:rsidRPr="00FF4AE0">
              <w:rPr>
                <w:rFonts w:cs="Calibri"/>
                <w:b/>
                <w:i/>
              </w:rPr>
              <w:t xml:space="preserve">hidden </w:t>
            </w:r>
            <w:r w:rsidRPr="00FF4AE0">
              <w:rPr>
                <w:rFonts w:cs="Calibri"/>
                <w:b/>
                <w:i/>
              </w:rPr>
              <w:lastRenderedPageBreak/>
              <w:t>workshops</w:t>
            </w:r>
            <w:r>
              <w:rPr>
                <w:rFonts w:cs="Calibri"/>
                <w:b/>
                <w:i/>
              </w:rPr>
              <w:t>”, czyli pod „przykryciem” w postaci innych atrakcyjnych i potrzebnych działań kształtujemy KK. Np.: Tematyczne warsztaty kompetencyjne w zakresie edukacji prozdrowotnej, profilaktyki uzależnień, przemocy, rozwoju osobistego itp.</w:t>
            </w:r>
          </w:p>
          <w:p w:rsidR="002638E5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Niezbędny jest efekt „zachęty” lub przynęty dla wejścia osób dorosłych w proces rozwoju KK. Oferta wyrażona i kierowana wprost do grupy docelowej zniechęca do uczestnictwa w tzw. „douczaniu się”, co powoduje bariery, traumę, stygmatyzację w środowisku.</w:t>
            </w:r>
          </w:p>
          <w:p w:rsidR="002638E5" w:rsidRPr="009E593E" w:rsidRDefault="002638E5" w:rsidP="00D17017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="Calibri"/>
                <w:b/>
                <w:i/>
              </w:rPr>
            </w:pPr>
            <w:r w:rsidRPr="009E593E">
              <w:rPr>
                <w:rFonts w:cs="Calibri"/>
                <w:b/>
                <w:i/>
              </w:rPr>
              <w:t xml:space="preserve">Model zamierza wykorzystać potencjał </w:t>
            </w:r>
            <w:r>
              <w:rPr>
                <w:rFonts w:cs="Calibri"/>
                <w:b/>
                <w:i/>
              </w:rPr>
              <w:t>LOWE według teorii</w:t>
            </w:r>
            <w:r w:rsidRPr="009E593E">
              <w:rPr>
                <w:rFonts w:cs="Calibri"/>
                <w:b/>
                <w:i/>
              </w:rPr>
              <w:t xml:space="preserve"> tzw. miejsca trzeciego, w którym osoby nabywają </w:t>
            </w:r>
            <w:r>
              <w:rPr>
                <w:rFonts w:cs="Calibri"/>
                <w:b/>
                <w:i/>
              </w:rPr>
              <w:t xml:space="preserve">KK i </w:t>
            </w:r>
            <w:r w:rsidRPr="009E593E">
              <w:rPr>
                <w:rFonts w:cs="Calibri"/>
                <w:b/>
                <w:i/>
              </w:rPr>
              <w:t xml:space="preserve">kapitał społeczny i kulturowy poza </w:t>
            </w:r>
            <w:r>
              <w:rPr>
                <w:rFonts w:cs="Calibri"/>
                <w:b/>
                <w:i/>
              </w:rPr>
              <w:t>blokującym środowiskiem własnym</w:t>
            </w:r>
            <w:r w:rsidRPr="009E593E">
              <w:rPr>
                <w:rFonts w:cs="Calibri"/>
                <w:b/>
                <w:i/>
              </w:rPr>
              <w:t>.</w:t>
            </w:r>
          </w:p>
          <w:p w:rsidR="002638E5" w:rsidRDefault="002638E5" w:rsidP="00C4482E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Konieczne jest wręcz „reanimowanie” aktywności osób dorosłych w procesie LLL.</w:t>
            </w:r>
          </w:p>
          <w:p w:rsidR="002638E5" w:rsidRPr="00D17017" w:rsidRDefault="002638E5" w:rsidP="00C4482E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8E1430">
              <w:rPr>
                <w:rFonts w:cs="Calibri"/>
                <w:b/>
                <w:i/>
              </w:rPr>
              <w:t xml:space="preserve">Jednym z głównych problemów jest udział osób z niepełnosprawnościami </w:t>
            </w:r>
            <w:r w:rsidR="008E1430">
              <w:rPr>
                <w:rFonts w:cs="Calibri"/>
                <w:b/>
                <w:i/>
              </w:rPr>
              <w:t xml:space="preserve">(OzN) </w:t>
            </w:r>
            <w:r w:rsidRPr="008E1430">
              <w:rPr>
                <w:rFonts w:cs="Calibri"/>
                <w:b/>
                <w:i/>
              </w:rPr>
              <w:t xml:space="preserve">w LLL. </w:t>
            </w:r>
            <w:r w:rsidR="008E1430" w:rsidRPr="008E1430">
              <w:rPr>
                <w:rFonts w:cs="Calibri"/>
                <w:b/>
                <w:i/>
              </w:rPr>
              <w:t xml:space="preserve">Osoby niepełnosprawne zamieszkujące wsie i małe miasta to grupa społeczna dotknięta </w:t>
            </w:r>
            <w:r w:rsidR="008E1430" w:rsidRPr="00A74D51">
              <w:rPr>
                <w:rFonts w:cs="Calibri"/>
                <w:b/>
                <w:i/>
              </w:rPr>
              <w:t>szczególnie trudną sytuacją braku działań edukacyjnych</w:t>
            </w:r>
            <w:r w:rsidR="008E1430" w:rsidRPr="00C4482E">
              <w:rPr>
                <w:rFonts w:cs="Calibri"/>
                <w:b/>
                <w:i/>
              </w:rPr>
              <w:t>, często pozostająca na marginesie realizowanych działań aktywizacyjnych, wdrażanych programów i systemowych rozwiązań. Niepełnosprawni mieszkańcy wsi i małych miast dotknięci są zjaw</w:t>
            </w:r>
            <w:r w:rsidR="008E1430" w:rsidRPr="008E1430">
              <w:rPr>
                <w:rFonts w:cs="Calibri"/>
                <w:b/>
                <w:i/>
              </w:rPr>
              <w:t xml:space="preserve">iskiem podwójnej marginalizacji. Przyczyny niskiej aktywności zawodowej tej grupy są wynikiem tych samych uwarunkowań, które dotyczą reszty populacji, powiększone są jednak o aspekty płynące z faktu niepełnosprawności oraz specyficzne dla funkcjonowania wsi i małych miast uwarunkowania. Wpływ na aktywność społeczno-zawodową mają także czynniki indywidualne – sytuacja społeczno-rodzinna i motywacja do podjęcia aktywności społecznej i zawodowej. </w:t>
            </w:r>
            <w:r w:rsidRPr="00D17017">
              <w:rPr>
                <w:rFonts w:cs="Calibri"/>
                <w:b/>
                <w:i/>
              </w:rPr>
              <w:t xml:space="preserve">Występują tu </w:t>
            </w:r>
            <w:r w:rsidR="008E1430">
              <w:rPr>
                <w:rFonts w:cs="Calibri"/>
                <w:b/>
                <w:i/>
              </w:rPr>
              <w:t xml:space="preserve">również </w:t>
            </w:r>
            <w:r w:rsidRPr="00D17017">
              <w:rPr>
                <w:rFonts w:cs="Calibri"/>
                <w:b/>
                <w:i/>
              </w:rPr>
              <w:t xml:space="preserve">dodatkowe bariery typu: architektoniczne, mentalne, asystenckie, wyłączenie się OzN z rozwoju KK. Dlatego w projekcie uczestniczy </w:t>
            </w:r>
            <w:r w:rsidR="008E1430">
              <w:rPr>
                <w:rFonts w:cs="Calibri"/>
                <w:b/>
                <w:i/>
              </w:rPr>
              <w:t xml:space="preserve">Partner </w:t>
            </w:r>
            <w:r w:rsidRPr="00D17017">
              <w:rPr>
                <w:rFonts w:cs="Calibri"/>
                <w:b/>
                <w:i/>
              </w:rPr>
              <w:t>Fundacja EUDAJMONIA jako NGO wyspecjalizowana w wsparciu dla OzN.</w:t>
            </w:r>
          </w:p>
          <w:p w:rsidR="002638E5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Należy wykorzystać obecny potencjał funkcjonujących instytucji poza szkołą: OPS, PUP, NGO, Poradnie pedagogiczno-psychologiczne, ośrodki psychoprofilaktyczne, psychologowie, terapeuci, GOK, kluby sportowe, świetlice wiejskie</w:t>
            </w:r>
            <w:r w:rsidR="00060E43">
              <w:rPr>
                <w:rFonts w:cs="Calibri"/>
                <w:b/>
                <w:i/>
              </w:rPr>
              <w:t>,</w:t>
            </w:r>
            <w:r>
              <w:rPr>
                <w:rFonts w:cs="Calibri"/>
                <w:b/>
                <w:i/>
              </w:rPr>
              <w:t>środowiskowe</w:t>
            </w:r>
            <w:r w:rsidR="00060E43">
              <w:rPr>
                <w:rFonts w:cs="Calibri"/>
                <w:b/>
                <w:i/>
              </w:rPr>
              <w:t xml:space="preserve"> i soscjoterpautyczne</w:t>
            </w:r>
            <w:r>
              <w:rPr>
                <w:rFonts w:cs="Calibri"/>
                <w:b/>
                <w:i/>
              </w:rPr>
              <w:t xml:space="preserve"> instytucie przy parafiach, remizy strażackie, itp.</w:t>
            </w:r>
          </w:p>
          <w:p w:rsidR="002638E5" w:rsidRPr="000B5D77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Należy rozwijać kapitał społeczny powodujący angażowanie w LLL: grupy koleżeńskie rodziców uczniów szkoły/LOWE, kół zainteresowań i hobbystycznych, liderów lokalnych itp. Niezbędne będzie tu doinwestowanie, doposażenie lub niewielki remont obecnych pomieszczeń w terenie lokalnym. Dlatego tez możliwe będzie realizowanie autonomicznych przedsięwzięć i projektów własnych społeczności lokalnych, inicjatyw kształtujących KK w powiązaniu z zainteresowaniami grupy docelowej, nawet niewielkich grup, np. uczniowie starszych klas SP lub Gimnazjum organizują warsztaty TIK lub TSI dla swojego najbliższego otoczenia INICJUJĄC proces LLL.</w:t>
            </w:r>
          </w:p>
          <w:p w:rsidR="002638E5" w:rsidRPr="000070DD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0070DD">
              <w:rPr>
                <w:rFonts w:cs="Calibri"/>
                <w:b/>
                <w:i/>
              </w:rPr>
              <w:t xml:space="preserve">Model ma charakter formatywny – można go dowolnie kształtować w zależności od uwarunkowań i zmian sytuacji. Łatwo go będzie można adaptować do każdego innego podobnego środowiska dzięki zawartej dokładnej instrukcji metodologicznej. </w:t>
            </w:r>
          </w:p>
          <w:p w:rsidR="002638E5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0070DD">
              <w:rPr>
                <w:rFonts w:cs="Calibri"/>
                <w:b/>
                <w:i/>
              </w:rPr>
              <w:t>Społeczność lokalna i lokalne instytucje łatwo będą mogły zostać jego „właścicielem” i użytkownikiem, ponieważ same będą konstytuować ten model.</w:t>
            </w:r>
          </w:p>
          <w:p w:rsidR="002638E5" w:rsidRPr="00D17017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D17017">
              <w:rPr>
                <w:rFonts w:cs="Calibri"/>
                <w:b/>
                <w:i/>
              </w:rPr>
              <w:t xml:space="preserve">Model uwzględnia w założeniach, komponentach, narzędziach itp. horyzontalną zasadę równości szans i niedyskryminacji, w tym dostępność dla osób z niepełnosprawnościami. Każdy z elementów modelu będzie zawierał dostosowanie do specyfiki osób niepełnosprawnych w kontekście LLL. W przypadku stwierdzenia takiej konieczności model będzie dostoswany do osób niepełnosprawnych lub będzie zawierał instrukcje dla </w:t>
            </w:r>
            <w:r w:rsidRPr="00D17017">
              <w:rPr>
                <w:rFonts w:cs="Calibri"/>
                <w:b/>
                <w:i/>
              </w:rPr>
              <w:lastRenderedPageBreak/>
              <w:t>asystenta osoby niepełnosprawnej lub otoczenia.</w:t>
            </w:r>
          </w:p>
          <w:p w:rsidR="002638E5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F23F6D">
              <w:rPr>
                <w:rFonts w:cs="Calibri"/>
                <w:b/>
                <w:i/>
              </w:rPr>
              <w:t>Model skupia się na barierach PIERWOTNYCH, priorytetowych, które są przyczyną dla następnych problemów w zakresie LLL. Model nie skupia się na szczegółowych problemach niższej rangi zdiagnozowanych jako skutki. Eliminacja bądź złagodzenie problemów pierwotnych powodujących niski udział w LLL pozwala na rzeczywistą interwencję w proces aktywizacji.</w:t>
            </w:r>
          </w:p>
          <w:p w:rsidR="002638E5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F23F6D">
              <w:rPr>
                <w:rFonts w:cs="Calibri"/>
                <w:b/>
                <w:i/>
              </w:rPr>
              <w:t>Model pozwala wykreować trwały sposób na aktywizację w zakresie LLL poprzez „nauczenie” środowiska lokalnego korzystania z narzędzi i rozwiązań.</w:t>
            </w:r>
          </w:p>
          <w:p w:rsidR="002638E5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Na podstawie powyższego w środowisku LOWE nastąpi ANIMACJA LLL kompetencji kluczowych.</w:t>
            </w:r>
          </w:p>
          <w:p w:rsidR="002638E5" w:rsidRPr="00C26AE5" w:rsidRDefault="002638E5" w:rsidP="00D17017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="Calibri"/>
                <w:b/>
                <w:i/>
              </w:rPr>
            </w:pPr>
            <w:r w:rsidRPr="00C26AE5">
              <w:rPr>
                <w:rFonts w:cs="Calibri"/>
                <w:b/>
                <w:i/>
              </w:rPr>
              <w:t>Model zakłada trwałe</w:t>
            </w:r>
            <w:r>
              <w:rPr>
                <w:rFonts w:cs="Calibri"/>
                <w:b/>
                <w:i/>
              </w:rPr>
              <w:t xml:space="preserve"> wykreowanie roli oraz funkcji </w:t>
            </w:r>
            <w:r w:rsidRPr="00C26AE5">
              <w:rPr>
                <w:rFonts w:cs="Calibri"/>
                <w:b/>
                <w:i/>
              </w:rPr>
              <w:t xml:space="preserve">KOORDYNATORA LOWE (1 osoba dla 1 LOWE) </w:t>
            </w:r>
            <w:r>
              <w:rPr>
                <w:rFonts w:cs="Calibri"/>
                <w:b/>
                <w:i/>
              </w:rPr>
              <w:t xml:space="preserve">i </w:t>
            </w:r>
            <w:r w:rsidRPr="00C26AE5">
              <w:rPr>
                <w:rFonts w:cs="Calibri"/>
                <w:b/>
                <w:i/>
              </w:rPr>
              <w:t>ANIM</w:t>
            </w:r>
            <w:r>
              <w:rPr>
                <w:rFonts w:cs="Calibri"/>
                <w:b/>
                <w:i/>
              </w:rPr>
              <w:t>ATORA LOWE (2 osoby dla 1 LOWE), który będzie działał w oparciu o potencjał szkoły.</w:t>
            </w:r>
          </w:p>
          <w:p w:rsidR="002638E5" w:rsidRPr="0025690E" w:rsidRDefault="002638E5" w:rsidP="00C4482E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Istotnym elementem modelu będzie Lokalne Partnerstwo LOWE. Będzie to rzeczywiste partnerstwo lokalne działające w oparciu wypracowaną strategie Partnerstwa na rzecz LLL</w:t>
            </w:r>
            <w:r w:rsidRPr="00C746F6">
              <w:rPr>
                <w:rFonts w:cs="Calibri"/>
                <w:b/>
                <w:i/>
              </w:rPr>
              <w:t xml:space="preserve">. </w:t>
            </w:r>
            <w:r>
              <w:rPr>
                <w:rFonts w:cs="Calibri"/>
                <w:b/>
                <w:i/>
              </w:rPr>
              <w:t xml:space="preserve">Partnerstwo obejmuje szeroką i profesjonalną </w:t>
            </w:r>
            <w:r w:rsidRPr="003A4BDE">
              <w:rPr>
                <w:rFonts w:cs="Calibri"/>
                <w:b/>
                <w:i/>
              </w:rPr>
              <w:t>form</w:t>
            </w:r>
            <w:r>
              <w:rPr>
                <w:rFonts w:cs="Calibri"/>
                <w:b/>
                <w:i/>
              </w:rPr>
              <w:t xml:space="preserve">ułę współpracy międzysektorowej i w tym celu zaangażowano do projektu Partnera </w:t>
            </w:r>
            <w:r w:rsidR="00A74D51">
              <w:rPr>
                <w:rFonts w:cs="Calibri"/>
                <w:b/>
                <w:i/>
              </w:rPr>
              <w:t>Międzynarodowe Centrum Partnerstwa – Partners Network</w:t>
            </w:r>
            <w:r>
              <w:rPr>
                <w:rFonts w:cs="Calibri"/>
                <w:b/>
                <w:i/>
              </w:rPr>
              <w:t>, który posiada ogromny potencjał do animacji tego elementu modelu</w:t>
            </w:r>
            <w:r w:rsidRPr="003A4BDE">
              <w:rPr>
                <w:rFonts w:cs="Calibri"/>
                <w:b/>
                <w:i/>
              </w:rPr>
              <w:t xml:space="preserve">. Model </w:t>
            </w:r>
            <w:r>
              <w:rPr>
                <w:rFonts w:cs="Calibri"/>
                <w:b/>
                <w:i/>
              </w:rPr>
              <w:t xml:space="preserve">LOWE </w:t>
            </w:r>
            <w:r w:rsidRPr="003A4BDE">
              <w:rPr>
                <w:rFonts w:cs="Calibri"/>
                <w:b/>
                <w:i/>
              </w:rPr>
              <w:t xml:space="preserve">wykorzystuje i pożytkuje potencjał </w:t>
            </w:r>
            <w:r>
              <w:rPr>
                <w:rFonts w:cs="Calibri"/>
                <w:b/>
                <w:i/>
              </w:rPr>
              <w:t xml:space="preserve">wszystkich możliwych, </w:t>
            </w:r>
            <w:r w:rsidRPr="003A4BDE">
              <w:rPr>
                <w:rFonts w:cs="Calibri"/>
                <w:b/>
                <w:i/>
              </w:rPr>
              <w:t>obecnych instytucji i ich kompetencji ustawowych poprzez zaangażowanie ich w współpracę.</w:t>
            </w:r>
            <w:r>
              <w:rPr>
                <w:rFonts w:cs="Calibri"/>
                <w:b/>
                <w:i/>
              </w:rPr>
              <w:t xml:space="preserve"> Partnerstwo zapewni integralność zasobów lokalnych oraz TRWAŁOŚĆ LOWE. Ponadto Partnerstwo będzie formułą immanentnego empowermentu, co spowoduje zaangażowanie się całej społeczności w LOWE jako „własne”, „nasze”.</w:t>
            </w:r>
          </w:p>
          <w:p w:rsidR="002638E5" w:rsidRDefault="002638E5" w:rsidP="00C4482E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C746F6">
              <w:rPr>
                <w:rFonts w:cs="Calibri"/>
                <w:b/>
                <w:i/>
              </w:rPr>
              <w:t>Wszystkie powyższe elementy są spójne i przydatne dla stosowania dla osób niepełnosprawnych ze wszystkimi rodzajami niepełnosprawności (osoby o niepełnosprawnościach uniemożliwiających komunikację będą korzystać z asystenta).</w:t>
            </w:r>
          </w:p>
          <w:p w:rsidR="002638E5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1D1934">
              <w:rPr>
                <w:rFonts w:cs="Calibri"/>
                <w:b/>
                <w:i/>
              </w:rPr>
              <w:t>Model i komplet programów i będzie funkcjonował w formie kompletu dokumentów typu manual wraz z instrukcjami metodycznymi i wykonawczymi. Materiał będzie maksymalnie upraktyczniony i opatrzony instrukcją ciągłą dla użytkownika.</w:t>
            </w:r>
          </w:p>
          <w:p w:rsidR="002638E5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Zarządzanie LOWE będzie delegowane do szkoły pod nadzorem organu prowadzącego.</w:t>
            </w:r>
          </w:p>
          <w:p w:rsidR="002638E5" w:rsidRPr="006570D1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6570D1">
              <w:rPr>
                <w:rFonts w:cs="Calibri"/>
                <w:b/>
                <w:i/>
              </w:rPr>
              <w:t>Wykorzystany zostanie w modelu PRESTIŻ i STATUS nauczycieli, ich doświadczenie zainteresowania, kompetencje kadry szkoły. Założeniem modelu jest współpraca w ramach Partnerstwa dla pozyskiwania środków zewnętrznych dla procesu LLL – z wszelkich możliwych źródeł</w:t>
            </w:r>
            <w:r w:rsidR="00F72CCE">
              <w:rPr>
                <w:rFonts w:cs="Calibri"/>
                <w:b/>
                <w:i/>
              </w:rPr>
              <w:t xml:space="preserve"> (ze środków budżetu gminy, powiatu, województwa, centralnych, UE, środków dystrybuowanych centralnie przez NGO)</w:t>
            </w:r>
            <w:r w:rsidRPr="006570D1">
              <w:rPr>
                <w:rFonts w:cs="Calibri"/>
                <w:b/>
                <w:i/>
              </w:rPr>
              <w:t>. Koordynator oraz Animatorzy LOWE oraz przedstawiciele Lokalnego Partnerstwa LLL będą współtworzyć Zespół Fundr</w:t>
            </w:r>
            <w:r w:rsidR="00A74D51">
              <w:rPr>
                <w:rFonts w:cs="Calibri"/>
                <w:b/>
                <w:i/>
              </w:rPr>
              <w:t>a</w:t>
            </w:r>
            <w:r w:rsidRPr="006570D1">
              <w:rPr>
                <w:rFonts w:cs="Calibri"/>
                <w:b/>
                <w:i/>
              </w:rPr>
              <w:t>isingowy, zapewniający w pewnym stopniu finansowanie i TRWAŁOŚĆ LOWE.</w:t>
            </w:r>
          </w:p>
          <w:p w:rsidR="002638E5" w:rsidRPr="006570D1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6570D1">
              <w:rPr>
                <w:rFonts w:cs="Calibri"/>
                <w:b/>
                <w:i/>
              </w:rPr>
              <w:t>Zasoby materialne szkoły (infrastruktura, nauczyciele, zaplecze organizacyjno-instytucjonalne) posłużą do realizacji stałych warsztatów kompetencyjnych w formach wskazanych powyżej. Te główne cykle będą odbywać się w dogodnych warunkach w infrastrukturze szkoły. Zwiększy to aktywność edukacyjną rodziców, którzy znają to miejsce mają gwarancję jakości działań.</w:t>
            </w:r>
          </w:p>
          <w:p w:rsidR="002638E5" w:rsidRPr="006570D1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6570D1">
              <w:rPr>
                <w:rFonts w:cs="Calibri"/>
                <w:b/>
                <w:i/>
              </w:rPr>
              <w:t xml:space="preserve">W miarę możliwości LOWE powinna być „oddawana” społeczności rodziców uczniów, co rozszerzenie zakresu tematycznego i zróżnicowania form tej aktywności, tak aby wychodziła poza tradycyjnie rozumianą rolę rodziców w szkole. </w:t>
            </w:r>
          </w:p>
          <w:p w:rsidR="002638E5" w:rsidRPr="006570D1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6570D1">
              <w:rPr>
                <w:rFonts w:cs="Calibri"/>
                <w:b/>
                <w:i/>
              </w:rPr>
              <w:lastRenderedPageBreak/>
              <w:t xml:space="preserve">Wszystkie proponowane w modelu działania spowodują zachęcanie osób dorosłych do uczestnictwa w edukacji poprzez stosowanie w LOWE metod wykorzystujących i promujących powiązania edukacji z praktyką, tj. z naciskiem na efekty ważne dla powodzenia osobistego w połączeniu z rozwojem społeczności lokalnej. </w:t>
            </w:r>
          </w:p>
          <w:p w:rsidR="002638E5" w:rsidRPr="006570D1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6570D1">
              <w:rPr>
                <w:rFonts w:cs="Calibri"/>
                <w:b/>
                <w:i/>
              </w:rPr>
              <w:t xml:space="preserve">W modelu zakłada się funkcjonowanie „relacji-zobowiązania, obligacji społecznej” polegającej na tym, że osoba, która rozwinęła KK spowoduje podobny efekt u co najmniej jednej osoby. Będzie to formuła wykorzystywania w LOWE aktywizujących (nietradycyjnych) metod dydaktycznych, w tym wzajemnego uczenia się osób dorosłych oraz metod i narzędzi pracy z osobami dorosłymi opartych na łączeniu aktywizacji edukacyjnej z aktywnością w innych zakresach służących poprawie sytuacji osobistej, rodzinnej, w tym tworzenie wzorów tzw. usług zintegrowanych zaspokajających potrzeby lokalnej społeczności;. Zatem KK będą środkiem do osiągania celów wyższego rzędu. </w:t>
            </w:r>
          </w:p>
          <w:p w:rsidR="002638E5" w:rsidRPr="006570D1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6570D1">
              <w:rPr>
                <w:rFonts w:cs="Calibri"/>
                <w:b/>
                <w:i/>
              </w:rPr>
              <w:t>Model zakłada kształtowanie kompetencji</w:t>
            </w:r>
            <w:r>
              <w:rPr>
                <w:rFonts w:cs="Calibri"/>
                <w:b/>
                <w:i/>
              </w:rPr>
              <w:t xml:space="preserve">, które jest </w:t>
            </w:r>
            <w:r w:rsidRPr="006570D1">
              <w:rPr>
                <w:rFonts w:cs="Calibri"/>
                <w:b/>
                <w:i/>
              </w:rPr>
              <w:t xml:space="preserve">ZINTEGROWANE z aktywnością poza edukacyjną. </w:t>
            </w:r>
          </w:p>
          <w:p w:rsidR="002638E5" w:rsidRPr="006570D1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6570D1">
              <w:rPr>
                <w:rFonts w:cs="Calibri"/>
                <w:b/>
                <w:i/>
              </w:rPr>
              <w:t>W/w Partnerstwo będzie najefektywniejszą formułą budowania relacji współpracy i partnerstwa LOWE z otoczeniem społecznym i gospodarczym, w tym np. z pracodawcami, organizacjami pozarządowymi, stowarzyszeniami rodziców oraz z innymi instytucjami systemu oświaty działającymi na rzecz edukacji osób dorosłych oraz instytucjami innych resortów działającymi w tym zakresie (instytucje rynku pracy, ekonomii społecznej, kultury, wsparcia rodziny, pomocy społecznej, ochrony zdrowia, sportu i turystyki).</w:t>
            </w:r>
          </w:p>
          <w:p w:rsidR="002638E5" w:rsidRPr="006570D1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6570D1">
              <w:rPr>
                <w:rFonts w:cs="Calibri"/>
                <w:b/>
                <w:i/>
              </w:rPr>
              <w:t xml:space="preserve">Model przewiduje zasady sposoby wykorzystania podejścia popytowego w określaniu usług, które oferować będzie LOWE (usługi świadczone w ramach LOWE powinny być dostosowane do potrzeb społeczności lokalnej i oczekiwań osób z nich korzystających). </w:t>
            </w:r>
          </w:p>
          <w:p w:rsidR="002638E5" w:rsidRPr="006570D1" w:rsidRDefault="002638E5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6570D1">
              <w:rPr>
                <w:rFonts w:cs="Calibri"/>
                <w:b/>
                <w:i/>
              </w:rPr>
              <w:t>Model przewiduje stworzenie w każdym z LOWE – BANKU KOMPETENCJI, czyli zbioru programów i narzędzi, materiałów diagnozy, kształtowania wszystkich 8 kompetencji kluczowych z uwzględnieniem specyfiki lokalnej i dynamicznych potrzeb społeczności. Kadra LOWE i zasoby trenerskie będą w każdej chwili mogły użyć tych programów. Bank będzie aktualizowany w oparciu o wyniki lokalnej diagnozy.</w:t>
            </w:r>
          </w:p>
          <w:p w:rsidR="00D17017" w:rsidRPr="00E31150" w:rsidRDefault="002638E5" w:rsidP="00BC467B">
            <w:pPr>
              <w:pStyle w:val="Akapitzlist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cs="Calibri"/>
                <w:b/>
                <w:i/>
              </w:rPr>
            </w:pPr>
            <w:r w:rsidRPr="006570D1">
              <w:rPr>
                <w:rFonts w:cs="Calibri"/>
                <w:b/>
                <w:i/>
              </w:rPr>
              <w:t>TRWAŁOŚĆ LOWE będzie przejawiać się w Partnerstwie oraz Banku kompetencji. Założony fundr</w:t>
            </w:r>
            <w:r w:rsidR="00A74D51">
              <w:rPr>
                <w:rFonts w:cs="Calibri"/>
                <w:b/>
                <w:i/>
              </w:rPr>
              <w:t>a</w:t>
            </w:r>
            <w:r w:rsidRPr="006570D1">
              <w:rPr>
                <w:rFonts w:cs="Calibri"/>
                <w:b/>
                <w:i/>
              </w:rPr>
              <w:t>ising oraz Partnerstwo lokalne LLL oraz zobowiązanie organu prowadzącego szkołę spowoduje wykreowanie zasad obligacji społecznej do kontynuacji działań LOWE jedynie w oparciu o posiadane przez organ prowadzący zasoby, trwałości funkcjonowania LOWE w danej społeczności lokalnej po zakończeniu realizacji grantu.</w:t>
            </w:r>
          </w:p>
          <w:p w:rsidR="00D17017" w:rsidRPr="00190ED3" w:rsidRDefault="00D17017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5E40EE" w:rsidRPr="00190ED3" w:rsidTr="003D6EBA">
        <w:tc>
          <w:tcPr>
            <w:tcW w:w="9062" w:type="dxa"/>
            <w:shd w:val="clear" w:color="auto" w:fill="99CCFF"/>
          </w:tcPr>
          <w:p w:rsidR="005E40EE" w:rsidRPr="0082436E" w:rsidRDefault="003D6EBA" w:rsidP="00BC467B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spacing w:before="120" w:after="120"/>
              <w:ind w:left="540" w:hanging="540"/>
              <w:contextualSpacing/>
              <w:jc w:val="both"/>
              <w:rPr>
                <w:b/>
                <w:szCs w:val="24"/>
              </w:rPr>
            </w:pPr>
            <w:r w:rsidRPr="0082436E">
              <w:rPr>
                <w:b/>
                <w:sz w:val="28"/>
                <w:lang w:eastAsia="en-US"/>
              </w:rPr>
              <w:lastRenderedPageBreak/>
              <w:t xml:space="preserve">Opis sposobu rekrutacji organów prowadzących zgodnie z kryterium </w:t>
            </w:r>
            <w:r w:rsidR="00E31150">
              <w:rPr>
                <w:b/>
                <w:sz w:val="28"/>
                <w:lang w:eastAsia="en-US"/>
              </w:rPr>
              <w:t>dostępu nr 8</w:t>
            </w:r>
          </w:p>
        </w:tc>
      </w:tr>
      <w:tr w:rsidR="005E40EE" w:rsidRPr="00190ED3" w:rsidTr="003D6EBA">
        <w:trPr>
          <w:trHeight w:val="2963"/>
        </w:trPr>
        <w:tc>
          <w:tcPr>
            <w:tcW w:w="9062" w:type="dxa"/>
          </w:tcPr>
          <w:p w:rsidR="00206243" w:rsidRDefault="00206243" w:rsidP="001F7BF7">
            <w:pPr>
              <w:pStyle w:val="default"/>
              <w:rPr>
                <w:rFonts w:ascii="Calibri" w:eastAsia="Calibri" w:hAnsi="Calibri" w:cs="Calibri"/>
                <w:b/>
                <w:i/>
                <w:szCs w:val="20"/>
                <w:lang w:eastAsia="en-US"/>
              </w:rPr>
            </w:pP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Proces naboru organów prowadzących do udziału w projekcie i podpisanie umów grantowych w ramach projektu odbędzie się w otwartym naborze, z zachowaniem zasady bezstronności i przejrzystości. Wnioskodawca </w:t>
            </w:r>
            <w:r w:rsidRPr="00206243">
              <w:rPr>
                <w:rFonts w:ascii="Calibri" w:eastAsia="Calibri" w:hAnsi="Calibri" w:cs="Calibri"/>
                <w:b/>
                <w:bCs/>
                <w:i/>
                <w:lang w:eastAsia="en-US"/>
              </w:rPr>
              <w:t>przydzieli co najmniej 15 organom prowadzącym szkoły granty</w:t>
            </w:r>
            <w:r w:rsidRPr="00206243">
              <w:rPr>
                <w:rFonts w:ascii="Calibri" w:eastAsia="Calibri" w:hAnsi="Calibri" w:cs="Calibri"/>
                <w:bCs/>
                <w:i/>
                <w:lang w:eastAsia="en-US"/>
              </w:rPr>
              <w:t xml:space="preserve"> </w:t>
            </w: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na przygotowanie i uruchomienie LOWE zgodnego z opracowanym modelem.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Beneficjent uzyska od grantobiorców (organów prowadzących) deklaracje, że dany grantobiorca nie będzie ubiegać się o inny grant w ramach przedmiotowego konkursu.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Zakłada się podpisanie umów z wybranymi w otwarty sposób organami prowadzącymi na uruchomienie LOWE i przygotowanie szkół do pełnienia roli i wynikającej z koncepcji modelu LOWE, a także przekazanie na podstawie tych umów grantów na wsparcie procesu przygotowania i uruchomienia LOWE. 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Udzielenie grantów organom prowadzącym odbędzie się według </w:t>
            </w:r>
            <w:r w:rsidRPr="00206243">
              <w:rPr>
                <w:rFonts w:ascii="Calibri" w:eastAsia="Calibri" w:hAnsi="Calibri" w:cs="Calibri"/>
                <w:b/>
                <w:bCs/>
                <w:i/>
                <w:lang w:eastAsia="en-US"/>
              </w:rPr>
              <w:t>opracowanej metodologii doboru organów prowadzących do projektu</w:t>
            </w: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. W przedmiotowej metodologii zostaną określone kryteria doboru organów prowadzących tak, aby zróżnicowanie grantobiorców pozwoliło na ocenę wdrażanej koncepcji modelu w różnych warunkach i sformułowanie wniosków dotyczących dalszego upowszechnienia modelu. 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u w:val="single"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u w:val="single"/>
                <w:lang w:eastAsia="en-US"/>
              </w:rPr>
              <w:t xml:space="preserve">Założenia naboru wg struktury grantobiorców LOWE według rodzaju obszaru wsparcia: 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I. Obszary zdegradowane: 9 LOWE, w tym: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1. powojskowy: 3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2. popegeerowski: 3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3. poprzemysłowy: 3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II. obszary defaworyzowane:  6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Kryteria ww. metodologii będą w szczególności uwzględniać charakter organu prowadzącego: 15 LOWE, w tym: (podział uwzględnia obecną strukturę szkół wg organów prowadzących oraz analizę struktury szkół z obszarów zdegradowanych i defaworyzowanych oraz reprezentatywność i zróżnicowanie grantobiorców)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A. JST: 14, inne organy prowadzące: 1 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B. gminy wiejskie: 7, miejsko-wiejskie: 4, miejskie: 4, 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C. powiaty ziemskie: 11, grodzkie: 2; miasta: 2. </w:t>
            </w:r>
          </w:p>
          <w:p w:rsidR="00206243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 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Metodologia doboru organów prowadzących wskazana powyżej zapewnia zróżnicowanie grantobiorców, tak aby umożliwić przetestowanie modelu w różnych warunkach, ocenę założeń koncepcyjnych i sformułowanie uzasadnionych wniosków dotyczących dalszego upowszechnienia modelu. 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u w:val="single"/>
                <w:lang w:eastAsia="en-US"/>
              </w:rPr>
              <w:t>Rekrutacja</w:t>
            </w: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 rozpocznie się od bezpośredniego mailingu oraz bezpośredniego wysłania w wersji elektronicznej pism informujących o projekcie i modelu i zapraszających do zgłoszenia</w:t>
            </w:r>
            <w:r w:rsidR="00C4482E">
              <w:rPr>
                <w:rFonts w:ascii="Calibri" w:eastAsia="Calibri" w:hAnsi="Calibri" w:cs="Calibri"/>
                <w:b/>
                <w:i/>
                <w:lang w:eastAsia="en-US"/>
              </w:rPr>
              <w:t xml:space="preserve"> w formie przygotowanej oferty</w:t>
            </w: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. Wysłany zostanie również wystandaryzowany formularz </w:t>
            </w:r>
            <w:r w:rsidR="00060E43">
              <w:rPr>
                <w:rFonts w:ascii="Calibri" w:eastAsia="Calibri" w:hAnsi="Calibri" w:cs="Calibri"/>
                <w:b/>
                <w:i/>
                <w:lang w:eastAsia="en-US"/>
              </w:rPr>
              <w:t>ofertowy</w:t>
            </w: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.</w:t>
            </w:r>
            <w:r w:rsidR="00060E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 </w:t>
            </w:r>
            <w:r w:rsidR="00060E43">
              <w:rPr>
                <w:rFonts w:ascii="Calibri" w:eastAsia="Calibri" w:hAnsi="Calibri" w:cs="Calibri"/>
                <w:b/>
                <w:i/>
                <w:lang w:eastAsia="en-US"/>
              </w:rPr>
              <w:br/>
              <w:t xml:space="preserve">Informacja o możliwości uzyskania grantu zostanie rozpowszechniona we wszystkich województwach bezpośrednio do organów prowadzących szkoły oraz poprzez informację przekazaną do Kuratoriów Oświaty. 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Po uzyskaniu </w:t>
            </w:r>
            <w:r w:rsidR="00060E43">
              <w:rPr>
                <w:rFonts w:ascii="Calibri" w:eastAsia="Calibri" w:hAnsi="Calibri" w:cs="Calibri"/>
                <w:b/>
                <w:i/>
                <w:lang w:eastAsia="en-US"/>
              </w:rPr>
              <w:t>ofert</w:t>
            </w:r>
            <w:r w:rsidR="00060E43"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 </w:t>
            </w: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(30 dniowy okres naboru) nastąpi etap kwalifikacji formalnej: spełnianie wymogów projektu, modelu oraz spełnienie wymogu obszaru </w:t>
            </w: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lastRenderedPageBreak/>
              <w:t>zdegradowanego lub defaworyzowanego.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Następnie przyznane zostaną punkty (max. 100) za spełnienie kryteriów </w:t>
            </w:r>
            <w:r w:rsidR="00060E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merytorycznych </w:t>
            </w: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selekcji: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1. Poziom zgodności propozycji LOWE organu prowadzącego z założeniami opracowanego modelu LOWE: 0-30 pkt Ocena jakościowa.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2. Natężenie, uzasadnienie i charakterystyka problemów społecznych na terenie gminy i uzasadnienie obszaru jako zdegradowanego lub defaworyzowanego, w tym odsetek osób uczestniczących w edukacji ustawicznej w gminie wg danych lokalnych GUS: 0-20 pkt. Ocena jakościowa.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3. Charakterystyka i uzasadnienie motywacji organu prowadzącego do udziału w projekcie i stworzenia LOWE: 0-30 pkt Ocena jakościowa.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4. Ocena wstępna potencjału, zasobów szkoły i otoczenia </w:t>
            </w:r>
            <w:r w:rsidR="00060E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(społeczności lokalnej) </w:t>
            </w: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do realizacji LOWE: 0-20 pkt Ocena jakościowa.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 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Oceny dokona niezależna od potencjalnych grantobiorców Rekrutacyjna </w:t>
            </w:r>
            <w:r w:rsidR="00060E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Komisja Oceny Projektów </w:t>
            </w: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(zasady bezstronności i poufności, z możliwością uczestnictwa obserwatora zewnętrznego z IOK) (3 osoby zewnętrzne wobec podmiotów Partnerstwa + Przewodniczący: Dyrektor Projektu). Przewiduje się możliwość odwołania od wyników rekrutacji. terminy rozpatrzenia: 14 dni roboczych.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 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Stworzona zostanie lista rankingowa dla kategorii: I: 1,2,3 i II, w wyniku której pozyskane zostanie 15 podmiotów, w tym, cztery rezerwowe.</w:t>
            </w:r>
          </w:p>
          <w:p w:rsidR="001F7BF7" w:rsidRPr="00206243" w:rsidRDefault="001F7BF7" w:rsidP="00D17017">
            <w:pPr>
              <w:pStyle w:val="default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Wyniki rekrutacji zostaną opublikowane na stronie Wnioskodawcy.</w:t>
            </w:r>
          </w:p>
          <w:p w:rsidR="003D6EBA" w:rsidRPr="00206243" w:rsidRDefault="003D6EBA" w:rsidP="00C4482E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3D6EBA" w:rsidRPr="00C35F4C" w:rsidRDefault="001F7BF7">
            <w:pPr>
              <w:jc w:val="both"/>
              <w:rPr>
                <w:rFonts w:ascii="Calibri" w:eastAsia="Calibri" w:hAnsi="Calibri" w:cs="Calibri"/>
                <w:b/>
                <w:i/>
                <w:u w:val="single"/>
                <w:lang w:eastAsia="en-US"/>
              </w:rPr>
            </w:pPr>
            <w:r w:rsidRPr="00C35F4C">
              <w:rPr>
                <w:rFonts w:ascii="Calibri" w:eastAsia="Calibri" w:hAnsi="Calibri" w:cs="Calibri"/>
                <w:b/>
                <w:i/>
                <w:u w:val="single"/>
                <w:lang w:eastAsia="en-US"/>
              </w:rPr>
              <w:t>Opis dodatkowy: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REGULAMIN OCENY PROJEKTÓW URUCHOMIENIA LOWE ZŁOŻONYCH PRZEZ ORGANY PROWADZĄCE W ODPOWIEDZI NA KONKURS GRANTÓW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C35F4C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lang w:eastAsia="en-US"/>
              </w:rPr>
              <w:t>A. ZASADY OGÓLNE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1. Rekrutacyjna </w:t>
            </w:r>
            <w:r w:rsidR="00060E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Komisja </w:t>
            </w: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Oceny Projektów stanowi niezależne ciało w systemie ocen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y ofert.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2. Rekrutacyjna </w:t>
            </w:r>
            <w:r w:rsidR="00060E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Komisja </w:t>
            </w: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Oceny Projektów zostaje powołana przez Wnioskodawcę w celu oceny merytorycznej ofert złożonych w odpowiedzi na Konkurs Grantów na prz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ygotowanie i uruchomienie LOWE.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3. Wszyscy członkowie Komisji Oceny Projektów, biorący udział w ocenie, podpisują deklar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ację bezstronności i poufności.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4. Członkowie Komisji Oceny Projektów są odpowiedzialni za jakość podejmowanych decyzji, czyli rzetelną i bezstronną ocenę, dokonaną na podstawie wszystkich aspektów, przedstawionych na Karci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e Oceny Merytorycznej.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5. Przedmiotem oceny merytorycznej są jedynie oferty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 xml:space="preserve"> spełniające kryteria formalne.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6. W przypadku, gdy Ekspert dostrzeże, że oferta nie spełnia kryteriów formalnych odnotowuje to w uwagach i trafia do ponownej weryfikacji formalnej.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B. OCENA FORMALNA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1. Ocena formalna dokonywana jest przez osoby wyzn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aczone do oceny formalnej przez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Wnios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kodawcę (pracowników projektu).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2. Oferta oceniana jest na podstawie karty oceny formalnej (spełnienie wymogów projektu, modelu oraz spełnienie wymogu obszaru zdegra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dowanego lub dafaworyzowanego).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3. Oceniona pozytywnie oferta, spełniająca kryteria formalne, zostaje przekazana do oceny 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merytorycznej.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4. Oceniona negatywnie oferta, niespełniająca kryterió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 xml:space="preserve">w formalnych, zostaje odrzucona 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br/>
            </w: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i nie jest poddawana ocenie merytorycznej.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C35F4C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lang w:eastAsia="en-US"/>
              </w:rPr>
              <w:t xml:space="preserve"> </w:t>
            </w:r>
          </w:p>
          <w:p w:rsidR="001F7BF7" w:rsidRPr="00206243" w:rsidRDefault="00C35F4C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lang w:eastAsia="en-US"/>
              </w:rPr>
              <w:t>C. OCENA MERYTORYCZNA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1. Eksperci zaproszeni do Komisji Oceny Projektów, to eksperci zewnętrzni w obszarze edukacji, kształcenia osób dorosłych (w tym osób z niepełnosprawnościami), partnerstwa lokalnego.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2. W Komisji muszą się znaleźć minimum 3 osoby zewnętrzne wobec podmiotów Partnerstwa oraz Dyrektor Projektu jako Przewodniczący Komisji.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3. Operator ma możliwość zaproszenia do Komisji Oceny Projektów przedstawiciela IOK jako obserwatora zewnętrznego.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C35F4C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lang w:eastAsia="en-US"/>
              </w:rPr>
              <w:t xml:space="preserve"> 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TRYB OCENY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1. Na etapie oceny merytorycznej ofert obowiązuje indywidualny tryb o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ceny przez każdego z ekspertów.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2. Ekspert zobowiązuje się dokonać oceny osobiście, profesjon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alnie, z należytą starannością.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3. Ocena ofert dokonywana jest przy wykorzystaniu Karty Oceny Merytorycznej, zgodnej z o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kreślonymi kryteriami selekcji.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4. W Karcie Oceny Merytorycznej w kolumnie "Ocena eksperta" ekspert wpisuje, jaką ocenę przyznaje (maks. 100 pkt) wraz z uzasadnieniem odjęcia/przyznania punktów 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przy poszczególnych elementach.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5. Karty oceny, bez danych osobowych eksperta oceniającego, będą udostępniane na życzenie potencjalnym o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rganom ubiegającym się o grant.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6. Ekspert dokonuje oceny merytorycznej na podstawie treści zawartych w ofercie o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rganu ubiegającego się o grant.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7. Ekspert może rekomendować przyznanie grantu na przygotowanie i uruchomienie LOWE w pełnej lub niepełnej kwocie wnios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kowanej przez organ prowadzący.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8. Jeżeli każdy z Ekspertów zarekomendował inną kwotę dofinansowania dla jednej oferty, decyzję o wysokości przyznane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j kwoty podejmuje Wnioskodawca.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9. Każda oferta jest 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oceniana przez dwóch ekspertów.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10. Ocena końcowa stanowi 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średnią z dwóch ocen ekspertów.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lastRenderedPageBreak/>
              <w:t>11. Oceniający potwierdza dokonanie oceny podpise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m na Karcie Oceny Merytorycznej</w:t>
            </w:r>
          </w:p>
          <w:p w:rsidR="001F7BF7" w:rsidRPr="00206243" w:rsidRDefault="00C35F4C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lang w:eastAsia="en-US"/>
              </w:rPr>
              <w:t>we wskazanym miejscu.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12. Wnioskodawca sporządza protokół w którym wskazuje oferty do przyznania grantu na przygotowanie i uruchomienie LOWE wraz z przyznaną kwotą.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D. WYNIKI OCENY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1. Wnioskodawca na podstawie ocen Komisji Oceny Projektów zawartych w protokole przedstawi listę rank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ingową ofert do dofinansowania.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2. Na liście rankingowej znajdą się wszystkie oferty ocen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ione merytorycznie i formalnie.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3. W przypadku uzyskania przez oferty równej liczby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 xml:space="preserve"> punktów o kolejności na liście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ran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kingowej decyduje Wnioskodawca.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4. Lista rankingowa w podziale zawierać będzie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 xml:space="preserve"> następujące informacje:</w:t>
            </w:r>
          </w:p>
          <w:p w:rsidR="001F7BF7" w:rsidRPr="00206243" w:rsidRDefault="00C35F4C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lang w:eastAsia="en-US"/>
              </w:rPr>
              <w:t>a. numer oferty;</w:t>
            </w:r>
          </w:p>
          <w:p w:rsidR="001F7BF7" w:rsidRPr="00206243" w:rsidRDefault="00C35F4C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lang w:eastAsia="en-US"/>
              </w:rPr>
              <w:t>b. nazwa oferenta/grantobiorcy;</w:t>
            </w:r>
          </w:p>
          <w:p w:rsidR="001F7BF7" w:rsidRPr="00206243" w:rsidRDefault="00C35F4C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lang w:eastAsia="en-US"/>
              </w:rPr>
              <w:t>c. tytuł projektu;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d. przyznana kwota grantu.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5. Listy ranki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ngowe ułożone są w 3 obszarach: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a. „Oferty pozytywnie ocenione, uzyskane dofinansowanie” â 15 podmiotów,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b. „Oferty pozytywnie ocenione, niedofinansowane z powodu braku środków” â w tym lista 4 rezerwowych ubiegających się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 xml:space="preserve"> o grant,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c. „Oferty negatywnie oc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enione pod względem formalnym”.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6. Po zatwierdzeniu listy rankingowej przez Wnioskodawcę następuje ogłoszenie wyników konk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ursu.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7. Lista rankingowa ofert przeznaczonych do dofinans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owania zostanie opublikowana na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str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onie internetowej Wnioskodawcy.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8. Przewiduje się możliwość odwołania od ocen meryt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orycznych, na podstawie których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sporządzona zostaje lista rankingowa â termin rozpatrzenia 14 dni roboczych.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 xml:space="preserve"> 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E. KONTAKT Z OFERENTEM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1. Po ogłoszeniu listy rankingowej Wnioskodawca kontaktuje się z potencjalnymi realizatorami prz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ygotowania i uruchomienia LOWE.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2. W przypadku, gdy wnioskowana w ofercie kwota dofinansowania będzie różnić się od przyznanej kwoty grantu, realizator przesyła zmodyfikowaną ofertę dostosowaną d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o uwag Komisji Oceny Projektów.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3. Niezłożenie poprawionej oferty w terminie 5 dni roboczych oznacza rezygnację z ubiegania się o dofinansowanie realizacji grantu ze środków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 xml:space="preserve"> konkursu na uruchomienie LOWE.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4. Kwota grantu przyznana przez Wnio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skodawcę jest kwotą ostateczną.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lastRenderedPageBreak/>
              <w:t>5. W przypadku rezygnacji wybranego organu z podpisania umowy, decyzję o rezygnacji należy przekazać niezwłocznie do Wnioskodawcy w formie pisemnej, nie później niż 5 dni roboczych od dnia otrzymania informacji o pr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zyjęciu projektu do realizacji.</w:t>
            </w:r>
          </w:p>
          <w:p w:rsidR="001F7BF7" w:rsidRPr="00206243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6. W przypadku uwolnienia środków, wynikającego z rezygn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>acji z realizacji zadania przez</w:t>
            </w:r>
          </w:p>
          <w:p w:rsidR="005E40EE" w:rsidRDefault="001F7BF7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Wybrany organ, którego oferta została przeznaczona do</w:t>
            </w:r>
            <w:r w:rsidR="00C35F4C">
              <w:rPr>
                <w:rFonts w:ascii="Calibri" w:eastAsia="Calibri" w:hAnsi="Calibri" w:cs="Calibri"/>
                <w:b/>
                <w:i/>
                <w:lang w:eastAsia="en-US"/>
              </w:rPr>
              <w:t xml:space="preserve"> dofinansowania, dofinansowanie </w:t>
            </w:r>
            <w:r w:rsidRPr="00206243">
              <w:rPr>
                <w:rFonts w:ascii="Calibri" w:eastAsia="Calibri" w:hAnsi="Calibri" w:cs="Calibri"/>
                <w:b/>
                <w:i/>
                <w:lang w:eastAsia="en-US"/>
              </w:rPr>
              <w:t>otrzymuje oferta z listy rezerwowej, zgodnie z przyznaną punktacją.</w:t>
            </w:r>
          </w:p>
          <w:p w:rsidR="00C35F4C" w:rsidRDefault="00C35F4C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  <w:p w:rsidR="00C35F4C" w:rsidRPr="00C35F4C" w:rsidRDefault="00C35F4C" w:rsidP="00C35F4C">
            <w:pPr>
              <w:jc w:val="both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</w:tc>
      </w:tr>
      <w:tr w:rsidR="005E40EE" w:rsidRPr="00190ED3" w:rsidTr="003D6EBA">
        <w:trPr>
          <w:trHeight w:val="953"/>
        </w:trPr>
        <w:tc>
          <w:tcPr>
            <w:tcW w:w="9062" w:type="dxa"/>
            <w:shd w:val="clear" w:color="auto" w:fill="99CCFF"/>
          </w:tcPr>
          <w:p w:rsidR="005E40EE" w:rsidRPr="00190ED3" w:rsidRDefault="005E40EE" w:rsidP="004B004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Calibri" w:hAnsi="Calibri" w:cs="Calibri"/>
              </w:rPr>
            </w:pPr>
            <w:r w:rsidRPr="00190ED3">
              <w:rPr>
                <w:rFonts w:ascii="Calibri" w:hAnsi="Calibri"/>
              </w:rPr>
              <w:lastRenderedPageBreak/>
              <w:t xml:space="preserve">Oświadczenie, że wypracowany model będzie spełniał wymogi określone w regulaminie konkursu (w </w:t>
            </w:r>
            <w:r w:rsidRPr="004B0043">
              <w:rPr>
                <w:rFonts w:ascii="Calibri" w:hAnsi="Calibri"/>
              </w:rPr>
              <w:t xml:space="preserve">podrozdziale </w:t>
            </w:r>
            <w:r w:rsidR="004B0043" w:rsidRPr="004B0043">
              <w:rPr>
                <w:rFonts w:ascii="Calibri" w:hAnsi="Calibri"/>
              </w:rPr>
              <w:t>3.4</w:t>
            </w:r>
            <w:r w:rsidRPr="004B0043">
              <w:rPr>
                <w:rFonts w:ascii="Calibri" w:hAnsi="Calibri"/>
              </w:rPr>
              <w:t xml:space="preserve"> regulaminu)</w:t>
            </w:r>
          </w:p>
        </w:tc>
      </w:tr>
      <w:tr w:rsidR="005E40EE" w:rsidRPr="00190ED3" w:rsidTr="003D6EBA">
        <w:trPr>
          <w:trHeight w:val="2363"/>
        </w:trPr>
        <w:tc>
          <w:tcPr>
            <w:tcW w:w="9062" w:type="dxa"/>
            <w:shd w:val="clear" w:color="auto" w:fill="FFFFFF"/>
          </w:tcPr>
          <w:p w:rsidR="005E40EE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E40EE" w:rsidRDefault="00712F9A" w:rsidP="00BC467B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Oświadczam</w:t>
            </w:r>
            <w:r w:rsidRPr="00712F9A">
              <w:rPr>
                <w:rFonts w:ascii="Calibri" w:hAnsi="Calibri"/>
              </w:rPr>
              <w:t>, że wypracowany model będzie spełniał wymogi określone w regulaminie konkursu (w podrozdziale 3.4 regulaminu)</w:t>
            </w: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5E40EE" w:rsidRDefault="005E40EE" w:rsidP="00BC467B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BC467B">
      <w:pPr>
        <w:spacing w:before="120" w:after="120"/>
        <w:jc w:val="both"/>
        <w:rPr>
          <w:rFonts w:ascii="Calibri" w:hAnsi="Calibri" w:cs="Calibri"/>
        </w:rPr>
      </w:pPr>
    </w:p>
    <w:p w:rsidR="00A8542C" w:rsidRDefault="00A8542C" w:rsidP="00BC467B">
      <w:pPr>
        <w:spacing w:before="120" w:after="120"/>
        <w:jc w:val="both"/>
        <w:rPr>
          <w:rFonts w:ascii="Calibri" w:hAnsi="Calibri" w:cs="Calibri"/>
        </w:rPr>
      </w:pPr>
    </w:p>
    <w:p w:rsidR="005E40EE" w:rsidRDefault="00A8542C" w:rsidP="00BC467B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19.08.2016 r.</w:t>
      </w:r>
    </w:p>
    <w:p w:rsidR="005E40EE" w:rsidRPr="003D5337" w:rsidRDefault="005E40EE" w:rsidP="00BC467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i/>
          <w:sz w:val="20"/>
          <w:szCs w:val="20"/>
        </w:rPr>
        <w:t>data</w:t>
      </w: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sz w:val="20"/>
          <w:szCs w:val="20"/>
        </w:rPr>
        <w:tab/>
      </w:r>
      <w:r w:rsidRPr="003D5337">
        <w:rPr>
          <w:rFonts w:ascii="Calibri" w:hAnsi="Calibri" w:cs="Calibri"/>
          <w:sz w:val="20"/>
          <w:szCs w:val="20"/>
        </w:rPr>
        <w:tab/>
      </w:r>
      <w:r w:rsidRPr="003D5337">
        <w:rPr>
          <w:rFonts w:ascii="Calibri" w:hAnsi="Calibri" w:cs="Calibri"/>
          <w:sz w:val="20"/>
          <w:szCs w:val="20"/>
        </w:rPr>
        <w:tab/>
      </w:r>
    </w:p>
    <w:p w:rsidR="005E40EE" w:rsidRDefault="005E40EE" w:rsidP="00BC467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A8542C" w:rsidRPr="003D5337" w:rsidRDefault="00A8542C" w:rsidP="00BC467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5E40EE" w:rsidRPr="003D5337" w:rsidRDefault="005E40EE" w:rsidP="00BC467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5E40EE" w:rsidRPr="00190ED3" w:rsidRDefault="005E40EE" w:rsidP="00BC467B">
      <w:pPr>
        <w:spacing w:before="120" w:after="120"/>
        <w:jc w:val="both"/>
        <w:rPr>
          <w:rFonts w:ascii="Calibri" w:hAnsi="Calibri" w:cs="Calibri"/>
        </w:rPr>
      </w:pP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i/>
          <w:sz w:val="20"/>
          <w:szCs w:val="20"/>
        </w:rPr>
        <w:t>podpis osoby uprawnionej do reprezentowania wnioskodawcy, zgodny z pkt. 2.7 wniosku o dofinansowanie</w:t>
      </w:r>
      <w:r w:rsidRPr="003D5337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5E40EE" w:rsidRPr="00190ED3" w:rsidSect="00BC46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8D" w:rsidRDefault="00E7568D" w:rsidP="00C84405">
      <w:r>
        <w:separator/>
      </w:r>
    </w:p>
  </w:endnote>
  <w:endnote w:type="continuationSeparator" w:id="0">
    <w:p w:rsidR="00E7568D" w:rsidRDefault="00E7568D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9687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7851" w:rsidRDefault="00F625C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E7851">
          <w:instrText>PAGE   \* MERGEFORMAT</w:instrText>
        </w:r>
        <w:r>
          <w:fldChar w:fldCharType="separate"/>
        </w:r>
        <w:r w:rsidR="00544E79">
          <w:rPr>
            <w:noProof/>
          </w:rPr>
          <w:t>2</w:t>
        </w:r>
        <w:r>
          <w:fldChar w:fldCharType="end"/>
        </w:r>
        <w:r w:rsidR="009E7851">
          <w:t xml:space="preserve"> | </w:t>
        </w:r>
        <w:r w:rsidR="009E7851">
          <w:rPr>
            <w:color w:val="7F7F7F" w:themeColor="background1" w:themeShade="7F"/>
            <w:spacing w:val="60"/>
          </w:rPr>
          <w:t>Strona</w:t>
        </w:r>
      </w:p>
    </w:sdtContent>
  </w:sdt>
  <w:p w:rsidR="009E7851" w:rsidRDefault="009E7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8D" w:rsidRDefault="00E7568D" w:rsidP="00C84405">
      <w:r>
        <w:separator/>
      </w:r>
    </w:p>
  </w:footnote>
  <w:footnote w:type="continuationSeparator" w:id="0">
    <w:p w:rsidR="00E7568D" w:rsidRDefault="00E7568D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EE" w:rsidRPr="001A193F" w:rsidRDefault="001A193F" w:rsidP="001A193F">
    <w:pPr>
      <w:pStyle w:val="Nagwek"/>
    </w:pPr>
    <w:r>
      <w:rPr>
        <w:noProof/>
      </w:rPr>
      <w:drawing>
        <wp:inline distT="0" distB="0" distL="0" distR="0">
          <wp:extent cx="5760720" cy="779780"/>
          <wp:effectExtent l="0" t="0" r="0" b="1270"/>
          <wp:docPr id="2" name="Obraz 2" descr="C:\Users\agnieszka.sidor\AppData\Local\Microsoft\Windows\Temporary Internet Files\Content.Outlook\0Q0THYWV\logo-po-wer+MEN+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sidor\AppData\Local\Microsoft\Windows\Temporary Internet Files\Content.Outlook\0Q0THYWV\logo-po-wer+MEN+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2810"/>
    <w:multiLevelType w:val="hybridMultilevel"/>
    <w:tmpl w:val="AEA6C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22764E"/>
    <w:multiLevelType w:val="hybridMultilevel"/>
    <w:tmpl w:val="E3B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F200B5"/>
    <w:multiLevelType w:val="hybridMultilevel"/>
    <w:tmpl w:val="ACA25A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0422B"/>
    <w:rsid w:val="00026A25"/>
    <w:rsid w:val="00037012"/>
    <w:rsid w:val="00043FAB"/>
    <w:rsid w:val="00060E43"/>
    <w:rsid w:val="0006354A"/>
    <w:rsid w:val="00075232"/>
    <w:rsid w:val="0008374E"/>
    <w:rsid w:val="00084A9C"/>
    <w:rsid w:val="000B431C"/>
    <w:rsid w:val="000D1ED9"/>
    <w:rsid w:val="000F3010"/>
    <w:rsid w:val="0012215F"/>
    <w:rsid w:val="001238F9"/>
    <w:rsid w:val="001416A3"/>
    <w:rsid w:val="00167C76"/>
    <w:rsid w:val="00174252"/>
    <w:rsid w:val="00174875"/>
    <w:rsid w:val="00190ED3"/>
    <w:rsid w:val="001930DE"/>
    <w:rsid w:val="00197B53"/>
    <w:rsid w:val="001A193F"/>
    <w:rsid w:val="001B7FBC"/>
    <w:rsid w:val="001C2BC9"/>
    <w:rsid w:val="001F0BB2"/>
    <w:rsid w:val="001F7BF7"/>
    <w:rsid w:val="00206243"/>
    <w:rsid w:val="0021092F"/>
    <w:rsid w:val="0021766E"/>
    <w:rsid w:val="0023288D"/>
    <w:rsid w:val="00234E98"/>
    <w:rsid w:val="00237F70"/>
    <w:rsid w:val="0024776B"/>
    <w:rsid w:val="002638E5"/>
    <w:rsid w:val="00297A55"/>
    <w:rsid w:val="002A1961"/>
    <w:rsid w:val="002A6119"/>
    <w:rsid w:val="002F7003"/>
    <w:rsid w:val="003116EF"/>
    <w:rsid w:val="00322750"/>
    <w:rsid w:val="0035240A"/>
    <w:rsid w:val="00356ACA"/>
    <w:rsid w:val="003C058B"/>
    <w:rsid w:val="003C11B9"/>
    <w:rsid w:val="003C379E"/>
    <w:rsid w:val="003D5337"/>
    <w:rsid w:val="003D6EBA"/>
    <w:rsid w:val="0042032A"/>
    <w:rsid w:val="00427909"/>
    <w:rsid w:val="00457702"/>
    <w:rsid w:val="00466EB2"/>
    <w:rsid w:val="004A695F"/>
    <w:rsid w:val="004B0043"/>
    <w:rsid w:val="004E5829"/>
    <w:rsid w:val="004E7817"/>
    <w:rsid w:val="0050154E"/>
    <w:rsid w:val="005429C7"/>
    <w:rsid w:val="00544E79"/>
    <w:rsid w:val="0055260F"/>
    <w:rsid w:val="00552F65"/>
    <w:rsid w:val="00574C27"/>
    <w:rsid w:val="00576B51"/>
    <w:rsid w:val="00595FEC"/>
    <w:rsid w:val="005B016B"/>
    <w:rsid w:val="005B4FDB"/>
    <w:rsid w:val="005C4F45"/>
    <w:rsid w:val="005D7B1C"/>
    <w:rsid w:val="005E1439"/>
    <w:rsid w:val="005E40EE"/>
    <w:rsid w:val="005F7B23"/>
    <w:rsid w:val="00630462"/>
    <w:rsid w:val="006717B8"/>
    <w:rsid w:val="00677115"/>
    <w:rsid w:val="00686482"/>
    <w:rsid w:val="006A421C"/>
    <w:rsid w:val="006B3936"/>
    <w:rsid w:val="006D1B0B"/>
    <w:rsid w:val="006F15B5"/>
    <w:rsid w:val="007027F6"/>
    <w:rsid w:val="00712F9A"/>
    <w:rsid w:val="00736E57"/>
    <w:rsid w:val="00755A22"/>
    <w:rsid w:val="00762D63"/>
    <w:rsid w:val="00795B42"/>
    <w:rsid w:val="007C3BCD"/>
    <w:rsid w:val="007E5092"/>
    <w:rsid w:val="007F3118"/>
    <w:rsid w:val="007F4FC2"/>
    <w:rsid w:val="0082436E"/>
    <w:rsid w:val="0083131B"/>
    <w:rsid w:val="0086166F"/>
    <w:rsid w:val="00894002"/>
    <w:rsid w:val="008B045E"/>
    <w:rsid w:val="008B6DCD"/>
    <w:rsid w:val="008E1430"/>
    <w:rsid w:val="008E3003"/>
    <w:rsid w:val="00901D40"/>
    <w:rsid w:val="00911522"/>
    <w:rsid w:val="0091790F"/>
    <w:rsid w:val="009279E6"/>
    <w:rsid w:val="00937B05"/>
    <w:rsid w:val="00944EF7"/>
    <w:rsid w:val="00975A8C"/>
    <w:rsid w:val="009A604F"/>
    <w:rsid w:val="009C011D"/>
    <w:rsid w:val="009E4F1B"/>
    <w:rsid w:val="009E7851"/>
    <w:rsid w:val="00A128DB"/>
    <w:rsid w:val="00A12C2F"/>
    <w:rsid w:val="00A15E86"/>
    <w:rsid w:val="00A25014"/>
    <w:rsid w:val="00A461A4"/>
    <w:rsid w:val="00A54F7A"/>
    <w:rsid w:val="00A666A8"/>
    <w:rsid w:val="00A74D51"/>
    <w:rsid w:val="00A827B9"/>
    <w:rsid w:val="00A8542C"/>
    <w:rsid w:val="00AC2951"/>
    <w:rsid w:val="00AD3E2E"/>
    <w:rsid w:val="00B059B6"/>
    <w:rsid w:val="00B61238"/>
    <w:rsid w:val="00B63297"/>
    <w:rsid w:val="00B832FF"/>
    <w:rsid w:val="00B959D4"/>
    <w:rsid w:val="00BA6D7E"/>
    <w:rsid w:val="00BC467B"/>
    <w:rsid w:val="00C04CE5"/>
    <w:rsid w:val="00C24EB7"/>
    <w:rsid w:val="00C35F4C"/>
    <w:rsid w:val="00C364E6"/>
    <w:rsid w:val="00C4113A"/>
    <w:rsid w:val="00C42C75"/>
    <w:rsid w:val="00C4482E"/>
    <w:rsid w:val="00C45514"/>
    <w:rsid w:val="00C52670"/>
    <w:rsid w:val="00C73911"/>
    <w:rsid w:val="00C84405"/>
    <w:rsid w:val="00CD0768"/>
    <w:rsid w:val="00CD7F94"/>
    <w:rsid w:val="00D029F6"/>
    <w:rsid w:val="00D17017"/>
    <w:rsid w:val="00D33586"/>
    <w:rsid w:val="00D3541C"/>
    <w:rsid w:val="00D951AE"/>
    <w:rsid w:val="00DC242B"/>
    <w:rsid w:val="00DD5DA6"/>
    <w:rsid w:val="00DD7C1B"/>
    <w:rsid w:val="00E03290"/>
    <w:rsid w:val="00E31150"/>
    <w:rsid w:val="00E44A13"/>
    <w:rsid w:val="00E46DAB"/>
    <w:rsid w:val="00E56ED5"/>
    <w:rsid w:val="00E7568D"/>
    <w:rsid w:val="00EA399E"/>
    <w:rsid w:val="00EC2A70"/>
    <w:rsid w:val="00EE59DC"/>
    <w:rsid w:val="00F041CE"/>
    <w:rsid w:val="00F412F9"/>
    <w:rsid w:val="00F57E42"/>
    <w:rsid w:val="00F612AB"/>
    <w:rsid w:val="00F625CE"/>
    <w:rsid w:val="00F71F61"/>
    <w:rsid w:val="00F72CCE"/>
    <w:rsid w:val="00F74609"/>
    <w:rsid w:val="00F9090D"/>
    <w:rsid w:val="00FB4567"/>
    <w:rsid w:val="00FC24F3"/>
    <w:rsid w:val="00FF1B8C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F59798-D2D2-4BD6-90D0-2632FCFC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4405"/>
    <w:rPr>
      <w:rFonts w:ascii="Arial" w:hAnsi="Arial" w:cs="Times New Roman"/>
      <w:b/>
      <w:i/>
      <w:sz w:val="28"/>
      <w:lang w:eastAsia="pl-PL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Znak Char,o Char"/>
    <w:basedOn w:val="Domylnaczcionkaakapitu"/>
    <w:uiPriority w:val="99"/>
    <w:semiHidden/>
    <w:locked/>
    <w:rsid w:val="003524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C844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1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1">
    <w:name w:val="Akapit z listą Znak1"/>
    <w:link w:val="Akapitzlist"/>
    <w:uiPriority w:val="99"/>
    <w:locked/>
    <w:rsid w:val="0050154E"/>
    <w:rPr>
      <w:sz w:val="22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795B42"/>
    <w:pPr>
      <w:autoSpaceDE w:val="0"/>
      <w:autoSpaceDN w:val="0"/>
      <w:ind w:left="708"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795B4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43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240A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D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D7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D7E"/>
    <w:rPr>
      <w:vertAlign w:val="superscript"/>
    </w:rPr>
  </w:style>
  <w:style w:type="paragraph" w:customStyle="1" w:styleId="default">
    <w:name w:val="default"/>
    <w:basedOn w:val="Normalny"/>
    <w:rsid w:val="001F7BF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1F7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3174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– Wzór Strategii realizacji projektu grantowego</vt:lpstr>
    </vt:vector>
  </TitlesOfParts>
  <Company>wwpe</Company>
  <LinksUpToDate>false</LinksUpToDate>
  <CharactersWithSpaces>22178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– Wzór Strategii realizacji projektu grantowego</dc:title>
  <dc:creator>akuflikowska</dc:creator>
  <cp:lastModifiedBy>UŻYTKOWNIK</cp:lastModifiedBy>
  <cp:revision>2</cp:revision>
  <cp:lastPrinted>2016-07-26T11:11:00Z</cp:lastPrinted>
  <dcterms:created xsi:type="dcterms:W3CDTF">2017-03-07T23:09:00Z</dcterms:created>
  <dcterms:modified xsi:type="dcterms:W3CDTF">2017-03-07T23:09:00Z</dcterms:modified>
</cp:coreProperties>
</file>